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关于举办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中国医院协会地（市）级医院分会常委（扩大）会议回执</w:t>
      </w:r>
    </w:p>
    <w:bookmarkEnd w:id="0"/>
    <w:tbl>
      <w:tblPr>
        <w:tblStyle w:val="2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537"/>
        <w:gridCol w:w="1155"/>
        <w:gridCol w:w="230"/>
        <w:gridCol w:w="2228"/>
      </w:tblGrid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35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245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航班信息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出发时间：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火车信息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出发时间：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57F6B"/>
    <w:rsid w:val="31511BB4"/>
    <w:rsid w:val="368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2021-05-24T09:34:00Z</dcterms:created>
  <dc:creator>Harry小菜</dc:creator>
  <cp:lastModifiedBy>沁水幽蓝</cp:lastModifiedBy>
  <dcterms:modified xsi:type="dcterms:W3CDTF">2021-06-15T08:01:43Z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87C7068561F3450980D1BDE454C20E09</vt:lpwstr>
  </property>
</Properties>
</file>